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D9" w:rsidRDefault="00CF029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REPORTE AVANCE DE META DE PROYECTO (POA Y PAI)</w:t>
      </w:r>
    </w:p>
    <w:p w:rsidR="00861AD9" w:rsidRDefault="00861AD9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color w:val="000000"/>
          <w:sz w:val="20"/>
          <w:szCs w:val="20"/>
        </w:rPr>
      </w:pPr>
    </w:p>
    <w:p w:rsidR="00861AD9" w:rsidRPr="004F4A8A" w:rsidRDefault="00CF029D" w:rsidP="004F4A8A">
      <w:pPr>
        <w:pStyle w:val="Ttulo2"/>
        <w:numPr>
          <w:ilvl w:val="0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Datos Generales de la Meta: </w:t>
      </w:r>
    </w:p>
    <w:tbl>
      <w:tblPr>
        <w:tblStyle w:val="a4"/>
        <w:tblW w:w="99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1984"/>
        <w:gridCol w:w="992"/>
        <w:gridCol w:w="1560"/>
        <w:gridCol w:w="2724"/>
      </w:tblGrid>
      <w:tr w:rsidR="00861AD9">
        <w:trPr>
          <w:trHeight w:val="31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ENTIDAD O DEPENDENCIA: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FONDO AMBIENTAL DE QUITO</w:t>
            </w:r>
          </w:p>
        </w:tc>
      </w:tr>
      <w:tr w:rsidR="00861AD9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MES DE AVANCE: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1AD9" w:rsidRDefault="003365B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ELABORACIÓN: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861AD9" w:rsidRDefault="003365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01</w:t>
            </w:r>
            <w:r w:rsidR="00CF029D">
              <w:rPr>
                <w:sz w:val="20"/>
                <w:szCs w:val="20"/>
              </w:rPr>
              <w:t xml:space="preserve"> </w:t>
            </w:r>
            <w:r w:rsidR="00CF029D">
              <w:rPr>
                <w:color w:val="000000"/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OCTUBRE</w:t>
            </w:r>
            <w:r w:rsidR="00CF029D">
              <w:rPr>
                <w:sz w:val="20"/>
                <w:szCs w:val="20"/>
              </w:rPr>
              <w:t xml:space="preserve"> </w:t>
            </w:r>
            <w:r w:rsidR="00CF029D">
              <w:rPr>
                <w:color w:val="000000"/>
                <w:sz w:val="20"/>
                <w:szCs w:val="20"/>
              </w:rPr>
              <w:t>DE 2024</w:t>
            </w:r>
          </w:p>
        </w:tc>
      </w:tr>
      <w:tr w:rsidR="00861AD9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FORTALECIMIENTO INSTITUCIONAL</w:t>
            </w:r>
          </w:p>
        </w:tc>
      </w:tr>
      <w:tr w:rsidR="00861AD9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PROYECTO: 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GESTION TALENTO HUMANO</w:t>
            </w:r>
          </w:p>
        </w:tc>
      </w:tr>
      <w:tr w:rsidR="00861AD9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META DE PROYECTO: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EJECUTAR EL 100% DEL PAGO DE LIQUIDACIONES DE AÑOS ANTERIORES, EN EL 2024</w:t>
            </w:r>
            <w:r w:rsidR="007A5F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    </w:t>
            </w:r>
            <w:r w:rsidR="007A5F6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F. AMBIENTAL.</w:t>
            </w:r>
          </w:p>
        </w:tc>
      </w:tr>
      <w:tr w:rsidR="00861AD9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PERIODICIDAD DE LA META: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MENSUAL </w:t>
            </w:r>
          </w:p>
        </w:tc>
      </w:tr>
      <w:tr w:rsidR="00861AD9">
        <w:trPr>
          <w:trHeight w:val="287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INDICADOR:</w:t>
            </w:r>
          </w:p>
        </w:tc>
        <w:tc>
          <w:tcPr>
            <w:tcW w:w="7260" w:type="dxa"/>
            <w:gridSpan w:val="4"/>
            <w:shd w:val="clear" w:color="auto" w:fill="auto"/>
            <w:vAlign w:val="center"/>
          </w:tcPr>
          <w:p w:rsidR="00861AD9" w:rsidRDefault="00CF02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PORCENTAJE DE PAGOS DE LIQUIDACIONES</w:t>
            </w:r>
          </w:p>
        </w:tc>
      </w:tr>
      <w:tr w:rsidR="00861AD9">
        <w:trPr>
          <w:trHeight w:val="304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FÓRMULA DE CÁLCULO: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861AD9" w:rsidRDefault="00CF029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bookmarkStart w:id="0" w:name="_heading=h.gjdgxs" w:colFirst="0" w:colLast="0"/>
            <w:bookmarkEnd w:id="0"/>
            <w:r>
              <w:rPr>
                <w:color w:val="000000"/>
                <w:sz w:val="20"/>
                <w:szCs w:val="20"/>
              </w:rPr>
              <w:t>(NÚMERO DE PAGOS REALIZADOS / NÚMERO DE PAGOS PLANIFICADOS)*100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META: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861AD9" w:rsidRPr="00CB2F86" w:rsidRDefault="00CF029D" w:rsidP="00677A30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CB2F86">
              <w:rPr>
                <w:color w:val="000000"/>
                <w:sz w:val="20"/>
                <w:szCs w:val="20"/>
              </w:rPr>
              <w:t>ACUMULADA</w:t>
            </w:r>
          </w:p>
        </w:tc>
      </w:tr>
      <w:tr w:rsidR="00861AD9">
        <w:trPr>
          <w:trHeight w:val="1483"/>
        </w:trPr>
        <w:tc>
          <w:tcPr>
            <w:tcW w:w="2694" w:type="dxa"/>
            <w:shd w:val="clear" w:color="auto" w:fill="DEEBF6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CALENDARIZACIÓN DE LA META: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861AD9" w:rsidRDefault="00861AD9">
            <w:pPr>
              <w:rPr>
                <w:sz w:val="20"/>
                <w:szCs w:val="20"/>
              </w:rPr>
            </w:pPr>
          </w:p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Enero:            5%</w:t>
            </w:r>
          </w:p>
          <w:p w:rsidR="00861AD9" w:rsidRDefault="00CF029D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Febrero:        20%</w:t>
            </w:r>
          </w:p>
          <w:p w:rsidR="00861AD9" w:rsidRDefault="00CF029D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Marzo:           50%</w:t>
            </w:r>
          </w:p>
          <w:p w:rsidR="00861AD9" w:rsidRDefault="00CF029D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Abril:              50%</w:t>
            </w:r>
          </w:p>
          <w:p w:rsidR="00861AD9" w:rsidRDefault="00CF029D">
            <w:pPr>
              <w:ind w:left="1352" w:hanging="1352"/>
              <w:rPr>
                <w:color w:val="43434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Mayo:           </w:t>
            </w:r>
            <w:r>
              <w:rPr>
                <w:color w:val="434343"/>
                <w:sz w:val="20"/>
                <w:szCs w:val="20"/>
              </w:rPr>
              <w:t>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Junio:            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Julio:              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Agosto:         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Septiembre: 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Octubre:       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Noviembre:  100%</w:t>
            </w:r>
          </w:p>
          <w:p w:rsidR="00861AD9" w:rsidRDefault="00CF029D">
            <w:pPr>
              <w:rPr>
                <w:color w:val="434343"/>
                <w:sz w:val="20"/>
                <w:szCs w:val="20"/>
              </w:rPr>
            </w:pPr>
            <w:r>
              <w:rPr>
                <w:sz w:val="20"/>
                <w:szCs w:val="20"/>
              </w:rPr>
              <w:t>Diciembre:    100%</w:t>
            </w:r>
          </w:p>
          <w:p w:rsidR="00861AD9" w:rsidRDefault="00861AD9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61AD9" w:rsidRDefault="00CF029D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EJECUTADO: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Enero:            </w:t>
            </w:r>
            <w:r w:rsidR="004F4A8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0%           </w:t>
            </w:r>
          </w:p>
          <w:p w:rsidR="00861AD9" w:rsidRDefault="00CF029D">
            <w:pPr>
              <w:ind w:left="1352" w:hanging="13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Febrero:        </w:t>
            </w:r>
            <w:r w:rsidR="004F4A8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42%        </w:t>
            </w:r>
          </w:p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Marzo:           </w:t>
            </w:r>
            <w:r w:rsidR="004F4A8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84%</w:t>
            </w:r>
          </w:p>
          <w:p w:rsidR="00861AD9" w:rsidRDefault="00CF0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Abril:              </w:t>
            </w:r>
            <w:r w:rsidR="004F4A8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84%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Mayo:            </w:t>
            </w:r>
            <w:r w:rsidR="004F4A8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86%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Junio:             </w:t>
            </w:r>
            <w:r w:rsidR="004F4A8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97%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Julio:             </w:t>
            </w:r>
            <w:r w:rsidR="004F4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Agosto:         </w:t>
            </w:r>
            <w:r w:rsidR="004F4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  <w:p w:rsidR="003365B5" w:rsidRDefault="00336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Septiembre: </w:t>
            </w:r>
            <w:r w:rsidR="004F4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100%</w:t>
            </w:r>
          </w:p>
        </w:tc>
      </w:tr>
    </w:tbl>
    <w:p w:rsidR="00861AD9" w:rsidRDefault="00861AD9">
      <w:pPr>
        <w:rPr>
          <w:b/>
          <w:sz w:val="20"/>
          <w:szCs w:val="20"/>
        </w:rPr>
      </w:pPr>
    </w:p>
    <w:p w:rsidR="00861AD9" w:rsidRDefault="00CF029D">
      <w:pPr>
        <w:pStyle w:val="Ttulo2"/>
        <w:numPr>
          <w:ilvl w:val="0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Resultados Alcanzados: </w:t>
      </w:r>
    </w:p>
    <w:p w:rsidR="00861AD9" w:rsidRDefault="00CF029D">
      <w:pPr>
        <w:pStyle w:val="Ttulo3"/>
        <w:numPr>
          <w:ilvl w:val="1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Resultado del periodo (Porcentaje): </w:t>
      </w:r>
    </w:p>
    <w:p w:rsidR="0030170F" w:rsidRDefault="0030170F">
      <w:pPr>
        <w:jc w:val="both"/>
        <w:rPr>
          <w:b/>
          <w:sz w:val="20"/>
          <w:szCs w:val="20"/>
        </w:rPr>
      </w:pPr>
    </w:p>
    <w:p w:rsidR="00861AD9" w:rsidRDefault="00CF029D">
      <w:pPr>
        <w:jc w:val="both"/>
        <w:rPr>
          <w:b/>
          <w:i/>
          <w:color w:val="4472C4"/>
          <w:sz w:val="20"/>
          <w:szCs w:val="20"/>
        </w:rPr>
      </w:pPr>
      <w:r>
        <w:rPr>
          <w:b/>
          <w:sz w:val="20"/>
          <w:szCs w:val="20"/>
        </w:rPr>
        <w:t>META:</w:t>
      </w:r>
      <w:r>
        <w:rPr>
          <w:i/>
          <w:color w:val="4472C4"/>
          <w:sz w:val="20"/>
          <w:szCs w:val="20"/>
        </w:rPr>
        <w:t xml:space="preserve"> </w:t>
      </w:r>
      <w:r>
        <w:rPr>
          <w:sz w:val="20"/>
          <w:szCs w:val="20"/>
        </w:rPr>
        <w:t>EJECUTAR EL 100% DEL PAGO DE LIQUIDACIONES DE AÑOS ANTERIORES, EN EL 2024 -                                          F. AMBIENTAL.</w:t>
      </w:r>
    </w:p>
    <w:tbl>
      <w:tblPr>
        <w:tblStyle w:val="a5"/>
        <w:tblW w:w="63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4"/>
        <w:gridCol w:w="1667"/>
        <w:gridCol w:w="1582"/>
        <w:gridCol w:w="1792"/>
      </w:tblGrid>
      <w:tr w:rsidR="00861AD9">
        <w:trPr>
          <w:trHeight w:val="540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bookmarkStart w:id="2" w:name="_GoBack"/>
            <w:bookmarkEnd w:id="2"/>
            <w:r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1667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Número de Cumplimiento</w:t>
            </w:r>
          </w:p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del periodo </w:t>
            </w:r>
            <w:r>
              <w:rPr>
                <w:b/>
                <w:i/>
                <w:sz w:val="20"/>
                <w:szCs w:val="20"/>
              </w:rPr>
              <w:t>(numerador)</w:t>
            </w:r>
          </w:p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A</w:t>
            </w:r>
          </w:p>
        </w:tc>
        <w:tc>
          <w:tcPr>
            <w:tcW w:w="1582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Total</w:t>
            </w:r>
            <w:proofErr w:type="gramEnd"/>
            <w:r>
              <w:rPr>
                <w:b/>
                <w:sz w:val="20"/>
                <w:szCs w:val="20"/>
              </w:rPr>
              <w:t xml:space="preserve"> del universo </w:t>
            </w:r>
            <w:r>
              <w:rPr>
                <w:b/>
                <w:i/>
                <w:sz w:val="20"/>
                <w:szCs w:val="20"/>
              </w:rPr>
              <w:t>(denominador)</w:t>
            </w:r>
          </w:p>
          <w:p w:rsidR="00861AD9" w:rsidRDefault="00CF029D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B</w:t>
            </w:r>
          </w:p>
        </w:tc>
        <w:tc>
          <w:tcPr>
            <w:tcW w:w="1792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Porcentaje</w:t>
            </w:r>
          </w:p>
          <w:p w:rsidR="00861AD9" w:rsidRDefault="00CF029D">
            <w:pPr>
              <w:jc w:val="center"/>
              <w:rPr>
                <w:b/>
                <w:color w:val="2F5496"/>
                <w:sz w:val="20"/>
                <w:szCs w:val="20"/>
              </w:rPr>
            </w:pPr>
            <w:r>
              <w:rPr>
                <w:b/>
                <w:color w:val="2F5496"/>
                <w:sz w:val="20"/>
                <w:szCs w:val="20"/>
              </w:rPr>
              <w:t>(A/</w:t>
            </w:r>
            <w:proofErr w:type="gramStart"/>
            <w:r>
              <w:rPr>
                <w:b/>
                <w:color w:val="2F5496"/>
                <w:sz w:val="20"/>
                <w:szCs w:val="20"/>
              </w:rPr>
              <w:t>B)*</w:t>
            </w:r>
            <w:proofErr w:type="gramEnd"/>
            <w:r>
              <w:rPr>
                <w:b/>
                <w:color w:val="2F5496"/>
                <w:sz w:val="20"/>
                <w:szCs w:val="20"/>
              </w:rPr>
              <w:t>100</w:t>
            </w:r>
          </w:p>
          <w:p w:rsidR="00861AD9" w:rsidRDefault="00861AD9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</w:tr>
      <w:tr w:rsidR="00861AD9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861AD9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84%</w:t>
            </w:r>
          </w:p>
        </w:tc>
      </w:tr>
      <w:tr w:rsidR="00861AD9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</w:tr>
      <w:tr w:rsidR="00861AD9">
        <w:trPr>
          <w:trHeight w:val="278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1667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8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1667" w:type="dxa"/>
            <w:vAlign w:val="center"/>
          </w:tcPr>
          <w:p w:rsidR="00861AD9" w:rsidRDefault="00336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82" w:type="dxa"/>
            <w:vAlign w:val="center"/>
          </w:tcPr>
          <w:p w:rsidR="00861AD9" w:rsidRDefault="00336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92" w:type="dxa"/>
            <w:vAlign w:val="center"/>
          </w:tcPr>
          <w:p w:rsidR="00861AD9" w:rsidRDefault="00336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Octubre</w:t>
            </w:r>
          </w:p>
        </w:tc>
        <w:tc>
          <w:tcPr>
            <w:tcW w:w="1667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1667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  <w:tr w:rsidR="00861AD9">
        <w:trPr>
          <w:trHeight w:val="262"/>
          <w:jc w:val="center"/>
        </w:trPr>
        <w:tc>
          <w:tcPr>
            <w:tcW w:w="1275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1667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</w:tbl>
    <w:p w:rsidR="00861AD9" w:rsidRDefault="00861AD9">
      <w:pPr>
        <w:rPr>
          <w:sz w:val="20"/>
          <w:szCs w:val="20"/>
        </w:rPr>
      </w:pPr>
    </w:p>
    <w:p w:rsidR="00861AD9" w:rsidRDefault="00CF029D">
      <w:pPr>
        <w:pStyle w:val="Ttulo3"/>
        <w:numPr>
          <w:ilvl w:val="1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>Principales resultados alcanzados</w:t>
      </w:r>
    </w:p>
    <w:p w:rsidR="00861AD9" w:rsidRDefault="00861AD9">
      <w:pPr>
        <w:rPr>
          <w:sz w:val="20"/>
          <w:szCs w:val="20"/>
        </w:rPr>
      </w:pPr>
    </w:p>
    <w:tbl>
      <w:tblPr>
        <w:tblStyle w:val="a6"/>
        <w:tblW w:w="991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861AD9" w:rsidTr="007A5F6C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PRINCIPALES RESULTADOS ALCANZADOS</w:t>
            </w: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  <w:tr w:rsidR="00861AD9" w:rsidTr="007A5F6C">
        <w:trPr>
          <w:trHeight w:val="887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enero la Coordinación Administrativa Financiera recibió la documentación para finalizar los procesos de liquidaciones de haberes del personal que fue desvinculado del Fondo Ambiental y contratado por la Secretaría de Ambiente, con la finalidad de regularizar su situación laboral y el fortalecimiento en las distintas áreas de esta dependencia municipal.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t>E</w:t>
            </w:r>
            <w:r>
              <w:rPr>
                <w:sz w:val="20"/>
                <w:szCs w:val="20"/>
              </w:rPr>
              <w:t>n el mes de febrero, se ejecutó el pago del 42% de los procesos de liquidaciones de haberes pendientes del personal desvinculado del Fondo Ambiental y regularizada su vinculación a la Secretaría de Ambiente.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marzo se logró incrementar al 84% la ejecución de pagos correspondientes a procesos de liquidaciones de  haberes pendientes del personal desvinculado del Fondo Ambiental y regularizada su vinculación a la Secretaría de Ambiente.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Abril</w:t>
            </w:r>
          </w:p>
        </w:tc>
        <w:tc>
          <w:tcPr>
            <w:tcW w:w="86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abril, se remitieron comunicaciones (correos electrónicos y Oficios) a cinco</w:t>
            </w:r>
            <w:r w:rsidR="007A5F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(5) ex funcionarios, que no presentaron la documentación habilitante para el pago de sus liquidación de haberes. Por lo que, en el mes de abril la ejecución acumulada fue de 84%.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el mes de mayo, se logró la ejecución del 86% de pagos correspondientes a los procesos de   liquidaciones de haberes pendientes del personal desvinculado del Fondo Ambiental. </w:t>
            </w:r>
          </w:p>
        </w:tc>
      </w:tr>
      <w:tr w:rsidR="00861AD9" w:rsidTr="007A5F6C">
        <w:trPr>
          <w:trHeight w:val="289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junio, se logró la ejecución del 97% de pagos correspondientes a los procesos de liquidaciones de haberes pendientes del personal desvinculado del Fondo Ambiental.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julio, se logró la ejecución del 100% de pagos correspondientes a los procesos de liquidaciones de haberes pendientes del personal desvinculado del Fondo Ambiental y regularizada su vinculación a la Secretaría de Ambiente.</w:t>
            </w:r>
          </w:p>
        </w:tc>
      </w:tr>
      <w:tr w:rsidR="00861AD9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En el mes de agosto, se logró la ejecución del 100% de pagos correspondientes a los procesos de liquidaciones de haberes pendientes del personal desvinculado del Fondo Ambiental y regularizada su vinculación a la Secretaría de Ambiente.</w:t>
            </w:r>
          </w:p>
        </w:tc>
      </w:tr>
      <w:tr w:rsidR="003365B5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3365B5" w:rsidRDefault="003365B5" w:rsidP="003365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Al mes de septiembre</w:t>
            </w:r>
            <w:r>
              <w:rPr>
                <w:sz w:val="20"/>
                <w:szCs w:val="20"/>
              </w:rPr>
              <w:t>, se logró la ejecución del 100% de pagos correspondientes a los procesos de liquidaciones de haberes pendientes del personal desvinculado del Fondo Ambiental y regularizada su vinculación a la Secretaría de Ambiente.</w:t>
            </w:r>
          </w:p>
        </w:tc>
      </w:tr>
      <w:tr w:rsidR="003365B5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65B5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65B5" w:rsidTr="007A5F6C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3365B5" w:rsidRDefault="003365B5" w:rsidP="003365B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61AD9" w:rsidRDefault="00861AD9">
      <w:pPr>
        <w:pStyle w:val="Ttulo3"/>
        <w:ind w:left="426"/>
        <w:rPr>
          <w:sz w:val="20"/>
          <w:szCs w:val="20"/>
        </w:rPr>
      </w:pPr>
    </w:p>
    <w:p w:rsidR="00861AD9" w:rsidRDefault="00CF029D">
      <w:pPr>
        <w:pStyle w:val="Ttulo3"/>
        <w:numPr>
          <w:ilvl w:val="1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>Dificultades encontradas</w:t>
      </w:r>
    </w:p>
    <w:p w:rsidR="00861AD9" w:rsidRDefault="00861AD9">
      <w:pPr>
        <w:ind w:left="1070"/>
      </w:pPr>
    </w:p>
    <w:tbl>
      <w:tblPr>
        <w:tblStyle w:val="a7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8642"/>
      </w:tblGrid>
      <w:tr w:rsidR="00861AD9">
        <w:trPr>
          <w:trHeight w:val="249"/>
          <w:tblHeader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MES</w:t>
            </w:r>
          </w:p>
        </w:tc>
        <w:tc>
          <w:tcPr>
            <w:tcW w:w="8642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DIFICULTADES ENCONTRADAS</w:t>
            </w:r>
          </w:p>
          <w:p w:rsidR="00861AD9" w:rsidRDefault="00861A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Febrero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Abril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Junio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realizaron insistencias a los ex servidores del Fondo Ambiental, a fin de que presenten la documentación habilitante para llevar a cabo los procesos de liquidación de haberes.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Julio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culminó con el proceso de pagos de liquidaciones de haberes pendientes.</w:t>
            </w:r>
          </w:p>
        </w:tc>
      </w:tr>
      <w:tr w:rsidR="00861AD9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861AD9" w:rsidRDefault="00CF02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Agosto</w:t>
            </w:r>
          </w:p>
        </w:tc>
        <w:tc>
          <w:tcPr>
            <w:tcW w:w="8642" w:type="dxa"/>
            <w:vAlign w:val="center"/>
          </w:tcPr>
          <w:p w:rsidR="00861AD9" w:rsidRDefault="00CF029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 culminó con el proceso de pagos de liquidaciones de haberes pendientes</w:t>
            </w:r>
          </w:p>
        </w:tc>
      </w:tr>
      <w:tr w:rsidR="004F4A8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Septiembre</w:t>
            </w:r>
          </w:p>
        </w:tc>
        <w:tc>
          <w:tcPr>
            <w:tcW w:w="8642" w:type="dxa"/>
            <w:vAlign w:val="center"/>
          </w:tcPr>
          <w:p w:rsidR="004F4A8A" w:rsidRDefault="004F4A8A" w:rsidP="004F4A8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 culminó con el proceso de pagos de liquidaciones de haberes pendientes</w:t>
            </w:r>
          </w:p>
        </w:tc>
      </w:tr>
      <w:tr w:rsidR="004F4A8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Octubre</w:t>
            </w:r>
          </w:p>
        </w:tc>
        <w:tc>
          <w:tcPr>
            <w:tcW w:w="8642" w:type="dxa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4A8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Noviembre</w:t>
            </w:r>
          </w:p>
        </w:tc>
        <w:tc>
          <w:tcPr>
            <w:tcW w:w="8642" w:type="dxa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4A8A">
        <w:trPr>
          <w:trHeight w:val="128"/>
        </w:trPr>
        <w:tc>
          <w:tcPr>
            <w:tcW w:w="1276" w:type="dxa"/>
            <w:shd w:val="clear" w:color="auto" w:fill="DEEBF6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Diciembre</w:t>
            </w:r>
          </w:p>
        </w:tc>
        <w:tc>
          <w:tcPr>
            <w:tcW w:w="8642" w:type="dxa"/>
            <w:vAlign w:val="center"/>
          </w:tcPr>
          <w:p w:rsidR="004F4A8A" w:rsidRDefault="004F4A8A" w:rsidP="004F4A8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61AD9" w:rsidRDefault="00861AD9">
      <w:pPr>
        <w:rPr>
          <w:b/>
          <w:sz w:val="20"/>
          <w:szCs w:val="20"/>
        </w:rPr>
      </w:pPr>
    </w:p>
    <w:p w:rsidR="00677A30" w:rsidRPr="004F4A8A" w:rsidRDefault="00CF029D" w:rsidP="004F4A8A">
      <w:pPr>
        <w:pStyle w:val="Ttulo2"/>
        <w:numPr>
          <w:ilvl w:val="0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Medios de Verificación: </w:t>
      </w:r>
    </w:p>
    <w:p w:rsidR="00861AD9" w:rsidRDefault="00CF029D">
      <w:pPr>
        <w:jc w:val="both"/>
        <w:rPr>
          <w:sz w:val="20"/>
          <w:szCs w:val="20"/>
        </w:rPr>
      </w:pPr>
      <w:r>
        <w:rPr>
          <w:sz w:val="20"/>
          <w:szCs w:val="20"/>
        </w:rPr>
        <w:t>A continuación, se adjuntan los siguientes medios de verificación:</w:t>
      </w:r>
    </w:p>
    <w:p w:rsidR="00861AD9" w:rsidRDefault="00CF029D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Actas de Finiquito suscritas </w:t>
      </w:r>
    </w:p>
    <w:p w:rsidR="00861AD9" w:rsidRDefault="00CF029D">
      <w:pPr>
        <w:rPr>
          <w:sz w:val="20"/>
          <w:szCs w:val="20"/>
        </w:rPr>
      </w:pPr>
      <w:r>
        <w:rPr>
          <w:sz w:val="20"/>
          <w:szCs w:val="20"/>
        </w:rPr>
        <w:t>El link el enlace:</w:t>
      </w:r>
    </w:p>
    <w:p w:rsidR="00861AD9" w:rsidRDefault="00BE0839">
      <w:pPr>
        <w:jc w:val="both"/>
        <w:rPr>
          <w:color w:val="1155CC"/>
          <w:sz w:val="20"/>
          <w:szCs w:val="20"/>
          <w:u w:val="single"/>
        </w:rPr>
      </w:pPr>
      <w:hyperlink r:id="rId8">
        <w:r w:rsidR="00CF029D">
          <w:rPr>
            <w:color w:val="1155CC"/>
            <w:sz w:val="20"/>
            <w:szCs w:val="20"/>
            <w:u w:val="single"/>
          </w:rPr>
          <w:t>https://www.fondoambientalquito.gob.ec/fa/wp-content/uploads/2024/07/2.-Metas-de-liquidaciones1_compressed-comprimido-2.pdf</w:t>
        </w:r>
      </w:hyperlink>
    </w:p>
    <w:p w:rsidR="00861AD9" w:rsidRDefault="00BE0839">
      <w:pPr>
        <w:jc w:val="both"/>
        <w:rPr>
          <w:sz w:val="20"/>
          <w:szCs w:val="20"/>
        </w:rPr>
      </w:pPr>
      <w:hyperlink r:id="rId9">
        <w:r w:rsidR="00CF029D">
          <w:rPr>
            <w:color w:val="1155CC"/>
            <w:sz w:val="20"/>
            <w:szCs w:val="20"/>
            <w:u w:val="single"/>
          </w:rPr>
          <w:t>https://www.fondoambientalquito.gob.ec/fa/wp-content/uploads/2024/07/2.1-Metas-de-liquidaciones2_compressed-comprimido.pdf</w:t>
        </w:r>
      </w:hyperlink>
    </w:p>
    <w:p w:rsidR="00861AD9" w:rsidRDefault="00BE0839">
      <w:pPr>
        <w:jc w:val="both"/>
        <w:rPr>
          <w:sz w:val="20"/>
          <w:szCs w:val="20"/>
        </w:rPr>
      </w:pPr>
      <w:hyperlink r:id="rId10">
        <w:r w:rsidR="00CF029D">
          <w:rPr>
            <w:color w:val="1155CC"/>
            <w:sz w:val="20"/>
            <w:szCs w:val="20"/>
            <w:u w:val="single"/>
          </w:rPr>
          <w:t>https://www.fondoambientalquito.gob.ec/fa/wp-content/uploads/2024/08/Acta-de-Finiquito-Karina-Ron.pdf</w:t>
        </w:r>
      </w:hyperlink>
    </w:p>
    <w:p w:rsidR="00861AD9" w:rsidRPr="00677A30" w:rsidRDefault="00CF029D" w:rsidP="00677A30">
      <w:pPr>
        <w:pStyle w:val="Ttulo2"/>
        <w:numPr>
          <w:ilvl w:val="0"/>
          <w:numId w:val="2"/>
        </w:numPr>
        <w:ind w:left="426"/>
        <w:rPr>
          <w:sz w:val="20"/>
          <w:szCs w:val="20"/>
        </w:rPr>
      </w:pPr>
      <w:r>
        <w:rPr>
          <w:sz w:val="20"/>
          <w:szCs w:val="20"/>
        </w:rPr>
        <w:t>FIRMAS DE RESPONSABILIDAD</w:t>
      </w:r>
    </w:p>
    <w:tbl>
      <w:tblPr>
        <w:tblStyle w:val="a8"/>
        <w:tblW w:w="144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3260"/>
        <w:gridCol w:w="2708"/>
        <w:gridCol w:w="2708"/>
        <w:gridCol w:w="2708"/>
      </w:tblGrid>
      <w:tr w:rsidR="00861AD9">
        <w:trPr>
          <w:gridAfter w:val="2"/>
          <w:wAfter w:w="5416" w:type="dxa"/>
          <w:trHeight w:val="26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CARGO</w:t>
            </w:r>
          </w:p>
        </w:tc>
        <w:tc>
          <w:tcPr>
            <w:tcW w:w="2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2E75B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FIRMA</w:t>
            </w:r>
          </w:p>
        </w:tc>
      </w:tr>
      <w:tr w:rsidR="00861AD9">
        <w:trPr>
          <w:gridAfter w:val="2"/>
          <w:wAfter w:w="5416" w:type="dxa"/>
          <w:trHeight w:val="372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ELABORACIÓN TÉCNICA POR: </w:t>
            </w:r>
            <w:r>
              <w:rPr>
                <w:color w:val="000000"/>
                <w:sz w:val="20"/>
                <w:szCs w:val="20"/>
              </w:rPr>
              <w:t>(Técnico del área responsable)</w:t>
            </w:r>
          </w:p>
        </w:tc>
      </w:tr>
      <w:tr w:rsidR="00861AD9">
        <w:trPr>
          <w:gridAfter w:val="2"/>
          <w:wAfter w:w="5416" w:type="dxa"/>
          <w:trHeight w:val="36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Silvia Urbano</w:t>
            </w: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Coordinadora Administrativa Financiera</w:t>
            </w: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  <w:tr w:rsidR="00861AD9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REVISADO Y APROBADO POR: </w:t>
            </w:r>
            <w:r>
              <w:rPr>
                <w:color w:val="000000"/>
                <w:sz w:val="20"/>
                <w:szCs w:val="20"/>
              </w:rPr>
              <w:t>(Responsable del área)</w:t>
            </w:r>
          </w:p>
        </w:tc>
      </w:tr>
      <w:tr w:rsidR="00861AD9">
        <w:trPr>
          <w:trHeight w:val="32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Silvia Urbano</w:t>
            </w:r>
          </w:p>
          <w:p w:rsidR="00861AD9" w:rsidRDefault="00861A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Coordinadora Administrativa</w:t>
            </w: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Financiera</w:t>
            </w:r>
          </w:p>
          <w:p w:rsidR="00861AD9" w:rsidRDefault="00861A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1AD9" w:rsidRDefault="00861AD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vAlign w:val="center"/>
          </w:tcPr>
          <w:p w:rsidR="00861AD9" w:rsidRDefault="00CF02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8" w:type="dxa"/>
            <w:vAlign w:val="center"/>
          </w:tcPr>
          <w:p w:rsidR="00861AD9" w:rsidRDefault="00861AD9">
            <w:pPr>
              <w:rPr>
                <w:sz w:val="20"/>
                <w:szCs w:val="20"/>
              </w:rPr>
            </w:pPr>
          </w:p>
        </w:tc>
      </w:tr>
      <w:tr w:rsidR="00861AD9">
        <w:trPr>
          <w:gridAfter w:val="2"/>
          <w:wAfter w:w="5416" w:type="dxa"/>
          <w:trHeight w:val="325"/>
        </w:trPr>
        <w:tc>
          <w:tcPr>
            <w:tcW w:w="907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CF0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APROBADO POR: </w:t>
            </w:r>
            <w:r>
              <w:rPr>
                <w:color w:val="000000"/>
                <w:sz w:val="20"/>
                <w:szCs w:val="20"/>
              </w:rPr>
              <w:t>(Máxima Autoridad)</w:t>
            </w:r>
          </w:p>
        </w:tc>
      </w:tr>
      <w:tr w:rsidR="00861AD9">
        <w:trPr>
          <w:gridAfter w:val="2"/>
          <w:wAfter w:w="5416" w:type="dxa"/>
          <w:trHeight w:val="333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Mónica Reinoso</w:t>
            </w: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CF029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Directora Ejecutiva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  <w:p w:rsidR="00861AD9" w:rsidRDefault="00861AD9">
            <w:pPr>
              <w:jc w:val="center"/>
              <w:rPr>
                <w:sz w:val="20"/>
                <w:szCs w:val="20"/>
              </w:rPr>
            </w:pPr>
          </w:p>
        </w:tc>
      </w:tr>
    </w:tbl>
    <w:p w:rsidR="00861AD9" w:rsidRDefault="00861AD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sectPr w:rsidR="00861AD9">
      <w:headerReference w:type="default" r:id="rId11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839" w:rsidRDefault="00BE0839">
      <w:pPr>
        <w:spacing w:after="0" w:line="240" w:lineRule="auto"/>
      </w:pPr>
      <w:r>
        <w:separator/>
      </w:r>
    </w:p>
  </w:endnote>
  <w:endnote w:type="continuationSeparator" w:id="0">
    <w:p w:rsidR="00BE0839" w:rsidRDefault="00BE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839" w:rsidRDefault="00BE0839">
      <w:pPr>
        <w:spacing w:after="0" w:line="240" w:lineRule="auto"/>
      </w:pPr>
      <w:r>
        <w:separator/>
      </w:r>
    </w:p>
  </w:footnote>
  <w:footnote w:type="continuationSeparator" w:id="0">
    <w:p w:rsidR="00BE0839" w:rsidRDefault="00BE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D9" w:rsidRDefault="00CF02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EC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-1070607</wp:posOffset>
          </wp:positionH>
          <wp:positionV relativeFrom="paragraph">
            <wp:posOffset>255270</wp:posOffset>
          </wp:positionV>
          <wp:extent cx="7349145" cy="9981565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t="7327"/>
                  <a:stretch>
                    <a:fillRect/>
                  </a:stretch>
                </pic:blipFill>
                <pic:spPr>
                  <a:xfrm>
                    <a:off x="0" y="0"/>
                    <a:ext cx="7349145" cy="9981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-1070607</wp:posOffset>
          </wp:positionH>
          <wp:positionV relativeFrom="paragraph">
            <wp:posOffset>-430527</wp:posOffset>
          </wp:positionV>
          <wp:extent cx="438211" cy="1124107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11" cy="11241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EC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1130935</wp:posOffset>
          </wp:positionH>
          <wp:positionV relativeFrom="paragraph">
            <wp:posOffset>-345438</wp:posOffset>
          </wp:positionV>
          <wp:extent cx="3019647" cy="704845"/>
          <wp:effectExtent l="0" t="0" r="0" b="0"/>
          <wp:wrapNone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9647" cy="704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43558"/>
    <w:multiLevelType w:val="multilevel"/>
    <w:tmpl w:val="6F7C3F9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430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150" w:hanging="1440"/>
      </w:pPr>
    </w:lvl>
    <w:lvl w:ilvl="8">
      <w:start w:val="1"/>
      <w:numFmt w:val="decimal"/>
      <w:lvlText w:val="%1.%2.%3.%4.%5.%6.%7.%8.%9"/>
      <w:lvlJc w:val="left"/>
      <w:pPr>
        <w:ind w:left="2150" w:hanging="1440"/>
      </w:pPr>
    </w:lvl>
  </w:abstractNum>
  <w:abstractNum w:abstractNumId="1" w15:restartNumberingAfterBreak="0">
    <w:nsid w:val="1C1464C5"/>
    <w:multiLevelType w:val="multilevel"/>
    <w:tmpl w:val="2D42B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D9"/>
    <w:rsid w:val="00103118"/>
    <w:rsid w:val="0030170F"/>
    <w:rsid w:val="003365B5"/>
    <w:rsid w:val="004F4A8A"/>
    <w:rsid w:val="00677A30"/>
    <w:rsid w:val="007A5F6C"/>
    <w:rsid w:val="00861AD9"/>
    <w:rsid w:val="00BE0839"/>
    <w:rsid w:val="00C36707"/>
    <w:rsid w:val="00CB2F86"/>
    <w:rsid w:val="00C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8DB2"/>
  <w15:docId w15:val="{FFED9FFD-F110-4E7F-A7C7-45BBB635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7321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73212"/>
    <w:rPr>
      <w:color w:val="800080" w:themeColor="followedHyperlink"/>
      <w:u w:val="single"/>
    </w:r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oambientalquito.gob.ec/wp-content/uploads/2024/07/2.-Metas-de-liquidaciones1_compressed-comprimido-2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ondoambientalquito.gob.ec/wp-content/uploads/2024/08/Acta-de-Finiquito-Karina-R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ondoambientalquito.gob.ec/wp-content/uploads/2024/07/2.1-Metas-de-liquidaciones2_compressed-comprimido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iC12Hu57fxA6yigeuruKJRc+kA==">CgMxLjAyCGguZ2pkZ3hzMgloLjMwajB6bGw4AHIhMTVQMW5KMi14NElYQ3JFRG9QRkV4MFJVc0VkVkRfS1Jw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1022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Fernando Mogollon Coello</dc:creator>
  <cp:lastModifiedBy>David Fernando Mogollon Coello</cp:lastModifiedBy>
  <cp:revision>9</cp:revision>
  <dcterms:created xsi:type="dcterms:W3CDTF">2024-08-01T14:25:00Z</dcterms:created>
  <dcterms:modified xsi:type="dcterms:W3CDTF">2024-09-23T17:33:00Z</dcterms:modified>
</cp:coreProperties>
</file>